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Бесплодная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нет на коленях в подоле у женщины сына,
          <w:br/>
           чтобы в недра ее детский запах проник и тепло,
          <w:br/>
           то вся жизнь провисает в руках ее, как паутина, —
          <w:br/>
           легковесная с виду, а душу гнетет тяжело.
          <w:br/>
          <w:br/>
          Видит в лилии сходство с височком младенца: «невинный
          <w:br/>
           ангелок, не пробьешь ты головкою даже стекло,
          <w:br/>
           а тем более лоно с алмазной его сердцевиной,
          <w:br/>
           о тебе я молилась, мой ангел, да не повезло».
          <w:br/>
          <w:br/>
          И не будет восторг ее в детских глазенках повторен
          <w:br/>
           никогда. Так на что ей мотыга, коль в почве нет зерен? —
          <w:br/>
           и иссякнет огонь ее глаз, как огонь сентября.
          <w:br/>
          <w:br/>
          Слышит ветер она в кипарисах с удвоенной дрожью,
          <w:br/>
           а столкнется с беременной нищей, чье лоно похоже
          <w:br/>
           на тучнеющий хлеб перед жатвой, — стыдится себя.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2022-04-21T22:46:03+03:00</dcterms:created>
  <dcterms:modified xsi:type="dcterms:W3CDTF">2022-04-21T22:46:03+03:00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