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был прыжком геометрии в глухонемую зелень
          <w:br/>
          парка, чьи праздные статуи, как бросившие ключи
          <w:br/>
          жильцы, слонялись в аллеях, оставшихся от извилин;
          <w:br/>
          когда загорались окна, было неясно — чьи.
          <w:br/>
          Видимо, шум листвы, суммируя варианты
          <w:br/>
          зависимости от судьбы (обычно — по вечерам),
          <w:br/>
          пользовалcя каракулями, и, с точки зренья лампы,
          <w:br/>
          этого было достаточно, чтоб раскалить вольфрам.
          <w:br/>
          Но шторы были опущены. Крупнозернистый гравий,
          <w:br/>
          похрустывая осторожно, свидетельствовал не о
          <w:br/>
          присутствии постороннего, но торжестве махровой
          <w:br/>
          безадресности, окрестностям доставшейся от него.
          <w:br/>
          И за полночь облака, воспитаны высшей школой
          <w:br/>
          расплывчатости или просто задранности голов,
          <w:br/>
          отечески прикрывали рыхлой периной голый
          <w:br/>
          космос от одичавшей суммы прямых углов.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2022-03-17T19:53:46+03:00</dcterms:created>
  <dcterms:modified xsi:type="dcterms:W3CDTF">2022-03-17T19:53:46+03:00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