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Штиль в безгранично светлом Ак-Денизе.
          <w:br/>
          Зацвел миндаль. В ауле тишина
          <w:br/>
          И теплый блеск. В мечети на карнизе,
          <w:br/>
          Воркуя, ходят, ходят турмана.
          <w:br/>
          <w:br/>
          На скате, под обрывистым утесом
          <w:br/>
          Журчит фонтан. Идут оттуда вниз
          <w:br/>
          Уступы крыш по каменным откосам
          <w:br/>
          И безграничный виден Ак-Дениз.
          <w:br/>
          <w:br/>
          Она уж там. И весел и спокоен
          <w:br/>
          Взгляд быстрых глаз. Легка, как горный джин.
          <w:br/>
          Под шелковым бешметом детски строен
          <w:br/>
          Высокий стан... Она нальет кувшин,
          <w:br/>
          <w:br/>
          На камень сбросит красные папучи
          <w:br/>
          И будет мыть, топтать в воде белье...
          <w:br/>
          — Журчи, журчи, звени, родник певучий,
          <w:br/>
          Она глядится в зеркало твое!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2021-11-11T14:52:02+03:00</dcterms:created>
  <dcterms:modified xsi:type="dcterms:W3CDTF">2021-11-11T14:52:02+03:00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