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М. И. Цейдлеру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Русский немец белокурый
          <w:br/>
          Едет в дальную страну,
          <w:br/>
          Где косматые гяуры
          <w:br/>
          Вновь затеяли войну.
          <w:br/>
          Едет он, томим печалью,
          <w:br/>
          На могучий пир войны;
          <w:br/>
          Но иной, не бранной сталью
          <w:br/>
          Мысли юноши полны.[1], [2]
          <w:br/>
          <w:br/>
          1838 г.
          <w:br/>
          <w:br/>
          [1] «Но иной, но бранной сталью Мысли юноши полны» – эти стихи содержат игру слов. Цейдлер был влюблен в Софью Николаевну Стааль фон Гольштейн, жену дивизионного командира.
          <w:br/>
          <w:br/>
          [2] Впервые опубликовано в 1858 г. в «Атенее» (№ 48, с. 303); по автографу – в 1859 г. в «Библиографических записках» (т. 2, № 1, стб. 23). Автограф не сохранился.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2022-03-24T00:51:56+03:00</dcterms:created>
  <dcterms:modified xsi:type="dcterms:W3CDTF">2022-03-24T00:51:56+03:00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