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Сергиевской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Окно моё над улицей низко,
          <w:br/>
          низко и открыто настежь.
          <w:br/>
          Рудолипкие торцы так близко
          <w:br/>
          под окном, раскрытым настежь.
          <w:br/>
          <w:br/>
          На торцах — фонарные блики,
          <w:br/>
          на торцах всё люди, люди…
          <w:br/>
          И топот, и вой, и крики,
          <w:br/>
          и в метании люди, люди…
          <w:br/>
          <w:br/>
          Как торец, их одежды и лица,
          <w:br/>
          они, живые и мёртвые, — вместе.
          <w:br/>
          Это годы, это годы длится,
          <w:br/>
          что живые и мёртвые — вместе!
          <w:br/>
          <w:br/>
          От них окна не закрою,
          <w:br/>
          я сам — живой или мёртвый?
          <w:br/>
          Всё равно… Я с ними вою,
          <w:br/>
          все равно, живой или мёртвый.
          <w:br/>
          <w:br/>
          Нет вины, и никто — в ответе,
          <w:br/>
          нет ответа для преисподней.
          <w:br/>
          Мы думали, что живём на свете…
          <w:br/>
          но мы воем, воем — в преисподней.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2022-03-21T13:26:30+03:00</dcterms:created>
  <dcterms:modified xsi:type="dcterms:W3CDTF">2022-03-21T13:26:30+03:00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