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водяных нулях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Нуль плавал по воде.
          <w:br/>
           Мы говорили: это круг,
          <w:br/>
           должно быть, кто-то
          <w:br/>
           бросил в воду камень.
          <w:br/>
          <w:br/>
          Здесь Петька Прохоров гулял —
          <w:br/>
           вот след его сапог с подковками.
          <w:br/>
           Он создал этот круг.
          <w:br/>
           Давайте нам скорей
          <w:br/>
           картон и краски,
          <w:br/>
           мы зарисуем Петькино творенье.
          <w:br/>
           И будет Прохоров звучать,
          <w:br/>
           как Пушкин.
          <w:br/>
          <w:br/>
          И много лет спустя
          <w:br/>
           подумают потомки:
          <w:br/>
           «Вот Прохоров когда-то,
          <w:br/>
           должно быть,
          <w:br/>
           славный был художник».
          <w:br/>
          <w:br/>
          И будут детям назидать:
          <w:br/>
           «Бросайте, дети, в воду камни.
          <w:br/>
           Рождает камень круг,
          <w:br/>
           а круг рождает мысль.
          <w:br/>
           А мысль, вызванная кругом,
          <w:br/>
           зовет из мрака к свету нуль».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2022-04-24T08:15:20+03:00</dcterms:created>
  <dcterms:modified xsi:type="dcterms:W3CDTF">2022-04-24T08:15:20+03:00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