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Слон в случае (Басня)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Когда-то в случай Слон попал у Льва.<w:br/> В минуту по лесам прошла о том молва,<w:br/> И, так как водится, пошли догадки,<w:br/> Чем в милость втерся Слон?<w:br/> Не то красив, не то забавен он;<w:br/> Что за прием, что за ухватки!<w:br/> Толкуют звери меж собой.<w:br/> «Когда бы», говорит, вертя хвостом, Лисица:<w:br/> «Был у него пушистый хвост такой,<w:br/> Я не дивилась бы». — «Или, сестрица»,<w:br/> Сказал Медведь: «хотя бы по когтям<w:br/> Он сделался случайным:<w:br/> Никто того не счел бы чрезвычайным:<w:br/> Да он и без когтей, то всем известно нам».—<w:br/> «Да не вошел ли он в случай клыками?»<w:br/> Вступился в речь их Вол:<w:br/> «Уж не сочли ли их рогами?» —<w:br/> «Так вы не знаете», — сказал Осел,<w:br/> Ушами хлопая: «чем мог он полюбиться,<w:br/> И в знать добиться?<w:br/> А я так отгадал —<w:br/> Без длинных бы ушей он в милость не попал».<w:br/> Нередко мы, хотя того не примечаем,<w:br/> Себя в других охотно величаем.<w:br/><w:br/><p class="snoskatext">[1]«Попасть в случай», т. е. сделать карьеру, понравившись царю. Мораль басни восходит к народным пословицам: «Всякая лисица<w:br/> свой хвост хвалит», «Всякая харя сама себя хвалит»;(см. В. Даль, «Пословицы русского народа»).		<div class="b-r b-r--after-article"> <style> .top3 { width: 234px; height: 60px; } @media(min-width: 320px) { .top3 { width: 300px; height: 250px; } } @media(min-width: 365px) { .top3 { width: 336px; height: 280px; } } @media(min-width: 600px) { .top3 { width: 580px; height: 400px; } } </style> <ins class="adsbygoogle top3"      style="display:inline-block"      data-ad-client="ca-pub-4506408761846430"      data-ad-slot="8179390351"></ins> <script><w:br/>(adsbygoogle = window.adsbygoogle || []).push({});<w:br/></script> 	 </div>	 	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2022-04-26T21:47:10+03:00</dcterms:created>
  <dcterms:modified xsi:type="dcterms:W3CDTF">2022-04-26T21:47:10+03:00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