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 XXIX (Век грации, утонченный век-стебель)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Век грации, утонченный век-стебель!
          <w:br/>
          Ланкрэ, Ла-Туш, Бушэ, Грэз и Ватто!
          <w:br/>
          Андрэ Шарль Булль — поэт, не твой ли мебель?
          <w:br/>
          И ты, Бертон, не ты ль певец манто?
          <w:br/>
          Век мушек-«поцелуев», вздохов гребель,
          <w:br/>
          Духов и комплиментов, — но зато
          <w:br/>
          Виконт бранится дома, как фельдфебель,
          <w:br/>
          А виконтесса, как — не знаю! — кто…
          <w:br/>
          Двуликий век Раттье и Фрагонара —
          <w:br/>
          Изящества и грубого кошмара! —
          <w:br/>
          Ты мне напомнил «эти» времена:
          <w:br/>
          Не та же ли культурность показная,
          <w:br/>
          Которую определенно зная,
          <w:br/>
          Спасти не могут наши имена?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2022-03-22T10:03:56+03:00</dcterms:created>
  <dcterms:modified xsi:type="dcterms:W3CDTF">2022-03-22T10:03:56+03:00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