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 гроба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Со мной она —<w:br/>Она одна.<w:br/><w:br/>В окнах весна.<w:br/>Свод неба синь.<w:br/>Облака летят.<w:br/><w:br/>А в церквах звонят;<w:br/>&laquo;Дилинь динь-динь...&raquo;<w:br/><w:br/>В черном лежу сюртуке,<w:br/>С желтым —<w:br/>С желтым<w:br/>Лицом;<w:br/>Образок в костяной руке.<w:br/><w:br/>Дилинь бим-бом!<w:br/><w:br/>Нашел в гробу<w:br/>Свою судьбу.<w:br/><w:br/>Сверкнула лампадка.<w:br/>Тонуть в неземных<w:br/>Далях —<w:br/>Мне сладко.<w:br/><w:br/>Невеста моя зарыдала,<w:br/>Крестя мне бледный лоб.<w:br/>В креповых, сквозных<w:br/>Вуалях<w:br/>Головка ее упала —<w:br/><w:br/>В гроб...<w:br/><w:br/>Ко мне прильнула:<w:br/>Я обжег ее льдом.<w:br/>Кольцо блеснуло<w:br/>На пальце моем.<w:br/><w:br/>Дилинь бимбом!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2021-11-10T12:05:05+03:00</dcterms:created>
  <dcterms:modified xsi:type="dcterms:W3CDTF">2021-11-10T12:05:05+03:00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